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EBE" w:rsidRPr="00621031" w:rsidRDefault="00E72EBE" w:rsidP="00E72EBE">
      <w:pPr>
        <w:pStyle w:val="a4"/>
        <w:jc w:val="center"/>
        <w:rPr>
          <w:b/>
          <w:bCs/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</w:rPr>
        <w:t>1</w:t>
      </w:r>
      <w:bookmarkStart w:id="0" w:name="_GoBack"/>
      <w:r w:rsidRPr="00621031">
        <w:rPr>
          <w:rFonts w:ascii="Verdana" w:hAnsi="Verdana"/>
          <w:b/>
          <w:bCs/>
          <w:color w:val="000000"/>
          <w:sz w:val="28"/>
          <w:szCs w:val="28"/>
        </w:rPr>
        <w:t>. Знаки для обозначения средств пожарной сигнализации</w:t>
      </w:r>
    </w:p>
    <w:p w:rsidR="00E72EBE" w:rsidRPr="00621031" w:rsidRDefault="00E72EBE" w:rsidP="00E72EBE">
      <w:pPr>
        <w:pStyle w:val="a4"/>
        <w:jc w:val="center"/>
        <w:rPr>
          <w:b/>
          <w:bCs/>
          <w:color w:val="000000"/>
          <w:sz w:val="28"/>
          <w:szCs w:val="28"/>
        </w:rPr>
      </w:pPr>
      <w:proofErr w:type="gramStart"/>
      <w:r w:rsidRPr="00621031">
        <w:rPr>
          <w:rFonts w:ascii="Verdana" w:hAnsi="Verdana"/>
          <w:b/>
          <w:bCs/>
          <w:color w:val="000000"/>
          <w:sz w:val="28"/>
          <w:szCs w:val="28"/>
        </w:rPr>
        <w:t>и</w:t>
      </w:r>
      <w:proofErr w:type="gramEnd"/>
      <w:r w:rsidRPr="00621031">
        <w:rPr>
          <w:rFonts w:ascii="Verdana" w:hAnsi="Verdana"/>
          <w:b/>
          <w:bCs/>
          <w:color w:val="000000"/>
          <w:sz w:val="28"/>
          <w:szCs w:val="28"/>
        </w:rPr>
        <w:t xml:space="preserve"> кнопок ручного включения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6"/>
        <w:gridCol w:w="1213"/>
        <w:gridCol w:w="2970"/>
        <w:gridCol w:w="1729"/>
        <w:gridCol w:w="2887"/>
      </w:tblGrid>
      <w:tr w:rsidR="00E72EBE" w:rsidRPr="0062103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sz w:val="28"/>
                <w:szCs w:val="28"/>
              </w:rPr>
              <w:t>?</w:t>
            </w:r>
            <w:r w:rsidRPr="00621031">
              <w:rPr>
                <w:rStyle w:val="apple-converted-space"/>
                <w:sz w:val="28"/>
                <w:szCs w:val="28"/>
              </w:rPr>
              <w:t> </w:t>
            </w:r>
            <w:r w:rsidRPr="00621031">
              <w:rPr>
                <w:sz w:val="28"/>
                <w:szCs w:val="28"/>
              </w:rPr>
              <w:t>п/п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Знак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Смысловое значение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Внешний вид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Порядок применения</w:t>
            </w:r>
          </w:p>
        </w:tc>
      </w:tr>
      <w:tr w:rsidR="00E72EBE" w:rsidRPr="0062103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sz w:val="28"/>
                <w:szCs w:val="28"/>
              </w:rPr>
              <w:t>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Fonts w:ascii="Verdana" w:hAnsi="Verdan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75640" cy="688975"/>
                  <wp:effectExtent l="19050" t="0" r="0" b="0"/>
                  <wp:docPr id="1" name="Рисунок 1" descr="http://fireman.ru/bd/npb/160-97/Image19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ireman.ru/bd/npb/160-97/Image19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Кнопка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включения</w:t>
            </w:r>
            <w:proofErr w:type="gramEnd"/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средств</w:t>
            </w:r>
            <w:proofErr w:type="gramEnd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 xml:space="preserve"> и систем</w:t>
            </w:r>
            <w:r w:rsidRPr="00621031">
              <w:rPr>
                <w:rStyle w:val="apple-converted-space"/>
                <w:rFonts w:ascii="Verdana" w:hAnsi="Verdana"/>
                <w:b/>
                <w:bCs/>
                <w:sz w:val="28"/>
                <w:szCs w:val="28"/>
              </w:rPr>
              <w:t> </w:t>
            </w:r>
            <w:hyperlink r:id="rId5" w:history="1">
              <w:r w:rsidRPr="00621031">
                <w:rPr>
                  <w:rStyle w:val="a3"/>
                  <w:rFonts w:ascii="Verdana" w:hAnsi="Verdana"/>
                  <w:b/>
                  <w:bCs/>
                  <w:sz w:val="28"/>
                  <w:szCs w:val="28"/>
                </w:rPr>
                <w:t>пожарной автоматики</w:t>
              </w:r>
            </w:hyperlink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Форма: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КВАДРАТ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Фон: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КРАСНЫЙ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Символ: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БЕЛЫЙ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 xml:space="preserve">Используется дм обозначения места ручного пуска установок пожарной сигнализации, </w:t>
            </w:r>
            <w:proofErr w:type="spellStart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противо</w:t>
            </w:r>
            <w:proofErr w:type="spellEnd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-дымной защиты и пожаротушения; места (пункта) подачи сигнала пожарной тревоги</w:t>
            </w:r>
          </w:p>
        </w:tc>
      </w:tr>
      <w:tr w:rsidR="00E72EBE" w:rsidRPr="0062103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sz w:val="28"/>
                <w:szCs w:val="28"/>
              </w:rPr>
              <w:t>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Fonts w:ascii="Verdana" w:hAnsi="Verdan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75640" cy="688975"/>
                  <wp:effectExtent l="19050" t="0" r="0" b="0"/>
                  <wp:docPr id="2" name="Рисунок 2" descr="http://fireman.ru/bd/npb/160-97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fireman.ru/bd/npb/160-97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 xml:space="preserve">Звуковой </w:t>
            </w:r>
            <w:proofErr w:type="spellStart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оповещатель</w:t>
            </w:r>
            <w:proofErr w:type="spellEnd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 xml:space="preserve"> пожарной тревоги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Форма: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КВАДРАТ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Фон: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КРАСНЫЙ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Символ: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БЕЛЫЙ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Используется индивидуально или совместно со знаком 1</w:t>
            </w:r>
          </w:p>
        </w:tc>
      </w:tr>
      <w:tr w:rsidR="00E72EBE" w:rsidRPr="0062103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sz w:val="28"/>
                <w:szCs w:val="28"/>
              </w:rPr>
              <w:t>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Fonts w:ascii="Verdana" w:hAnsi="Verdan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675640" cy="688975"/>
                  <wp:effectExtent l="19050" t="0" r="0" b="0"/>
                  <wp:docPr id="3" name="Рисунок 3" descr="http://fireman.ru/bd/npb/160-97/Image19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fireman.ru/bd/npb/160-97/Image19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Телефон для использования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при</w:t>
            </w:r>
            <w:proofErr w:type="gramEnd"/>
            <w:r w:rsidRPr="00621031">
              <w:rPr>
                <w:rStyle w:val="a5"/>
                <w:rFonts w:ascii="Verdana" w:hAnsi="Verdana"/>
                <w:sz w:val="28"/>
                <w:szCs w:val="28"/>
              </w:rPr>
              <w:t xml:space="preserve"> пожаре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Форма: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КВАДРАТ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Фон: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КРАСНЫЙ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t>Символ:</w:t>
            </w:r>
          </w:p>
          <w:p w:rsidR="00E72EBE" w:rsidRPr="00621031" w:rsidRDefault="00E72EBE" w:rsidP="00411777">
            <w:pPr>
              <w:pStyle w:val="a4"/>
              <w:jc w:val="center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lastRenderedPageBreak/>
              <w:t>БЕЛЫЙ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621031" w:rsidRDefault="00E72EBE" w:rsidP="00411777">
            <w:pPr>
              <w:pStyle w:val="a4"/>
              <w:rPr>
                <w:sz w:val="28"/>
                <w:szCs w:val="28"/>
              </w:rPr>
            </w:pPr>
            <w:r w:rsidRPr="00621031">
              <w:rPr>
                <w:rStyle w:val="a5"/>
                <w:rFonts w:ascii="Verdana" w:hAnsi="Verdana"/>
                <w:sz w:val="28"/>
                <w:szCs w:val="28"/>
              </w:rPr>
              <w:lastRenderedPageBreak/>
              <w:t>Используется для обозначения места нахождения телефона прямой связи с пожарной охраной</w:t>
            </w:r>
          </w:p>
        </w:tc>
      </w:tr>
    </w:tbl>
    <w:p w:rsidR="00E72EBE" w:rsidRPr="00621031" w:rsidRDefault="00E72EBE" w:rsidP="00E72EBE">
      <w:pPr>
        <w:jc w:val="both"/>
        <w:rPr>
          <w:sz w:val="28"/>
          <w:szCs w:val="28"/>
        </w:rPr>
      </w:pPr>
    </w:p>
    <w:bookmarkEnd w:id="0"/>
    <w:p w:rsidR="00E72EBE" w:rsidRDefault="00E72EBE" w:rsidP="00E72EBE">
      <w:pPr>
        <w:pStyle w:val="a4"/>
        <w:jc w:val="center"/>
        <w:rPr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3. Знаки для обозначения пожарно-технической продукции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1"/>
        <w:gridCol w:w="2082"/>
        <w:gridCol w:w="1895"/>
        <w:gridCol w:w="2361"/>
        <w:gridCol w:w="2656"/>
      </w:tblGrid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75640" cy="675640"/>
                  <wp:effectExtent l="19050" t="0" r="0" b="0"/>
                  <wp:docPr id="7" name="Рисунок 7" descr="http://fireman.ru/bd/npb/160-97/Image2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ireman.ru/bd/npb/160-97/Image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Место размещения пожарного оборудования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Используется для обозначения места нахождения различных видов</w:t>
            </w:r>
            <w:r>
              <w:rPr>
                <w:rStyle w:val="apple-converted-space"/>
                <w:rFonts w:ascii="Verdana" w:hAnsi="Verdana"/>
                <w:b/>
                <w:bCs/>
                <w:sz w:val="15"/>
                <w:szCs w:val="15"/>
              </w:rPr>
              <w:t> </w:t>
            </w:r>
            <w:hyperlink r:id="rId9" w:history="1">
              <w:r>
                <w:rPr>
                  <w:rStyle w:val="a3"/>
                  <w:rFonts w:ascii="Verdana" w:hAnsi="Verdana"/>
                  <w:b/>
                  <w:bCs/>
                  <w:sz w:val="15"/>
                  <w:szCs w:val="15"/>
                </w:rPr>
                <w:t>пожарно-технической продукции</w:t>
              </w:r>
            </w:hyperlink>
            <w:r>
              <w:rPr>
                <w:rStyle w:val="a5"/>
                <w:rFonts w:ascii="Verdana" w:hAnsi="Verdana"/>
                <w:sz w:val="15"/>
                <w:szCs w:val="15"/>
              </w:rPr>
              <w:t>, заменяя необходимость использования нескольких знаков (например, знаков - 15, 16)</w:t>
            </w:r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88975" cy="675640"/>
                  <wp:effectExtent l="19050" t="0" r="0" b="0"/>
                  <wp:docPr id="8" name="Рисунок 8" descr="http://fireman.ru/bd/npb/160-97/Image2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fireman.ru/bd/npb/160-97/Image2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Огнетушитель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Используется для обозначения места </w:t>
            </w:r>
            <w:proofErr w:type="spellStart"/>
            <w:proofErr w:type="gramStart"/>
            <w:r>
              <w:rPr>
                <w:rStyle w:val="a5"/>
                <w:rFonts w:ascii="Verdana" w:hAnsi="Verdana"/>
                <w:sz w:val="15"/>
                <w:szCs w:val="15"/>
              </w:rPr>
              <w:t>нахож-дения</w:t>
            </w:r>
            <w:proofErr w:type="spellEnd"/>
            <w:proofErr w:type="gram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огнетушителя</w:t>
            </w:r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88975" cy="688975"/>
                  <wp:effectExtent l="19050" t="0" r="0" b="0"/>
                  <wp:docPr id="9" name="Рисунок 9" descr="http://fireman.ru/bd/npb/160-97/Image2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fireman.ru/bd/npb/160-97/Image2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Пожарный кран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Используется для обозначения места </w:t>
            </w:r>
            <w:proofErr w:type="spellStart"/>
            <w:proofErr w:type="gramStart"/>
            <w:r>
              <w:rPr>
                <w:rStyle w:val="a5"/>
                <w:rFonts w:ascii="Verdana" w:hAnsi="Verdana"/>
                <w:sz w:val="15"/>
                <w:szCs w:val="15"/>
              </w:rPr>
              <w:t>нахож-дения</w:t>
            </w:r>
            <w:proofErr w:type="spellEnd"/>
            <w:proofErr w:type="gram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пожарного крана</w:t>
            </w:r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88975" cy="675640"/>
                  <wp:effectExtent l="19050" t="0" r="0" b="0"/>
                  <wp:docPr id="10" name="Рисунок 10" descr="http://fireman.ru/bd/npb/160-97/Image2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ireman.ru/bd/npb/160-97/Image2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Пожарная лестница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Используется для обозначения места </w:t>
            </w:r>
            <w:proofErr w:type="spellStart"/>
            <w:proofErr w:type="gramStart"/>
            <w:r>
              <w:rPr>
                <w:rStyle w:val="a5"/>
                <w:rFonts w:ascii="Verdana" w:hAnsi="Verdana"/>
                <w:sz w:val="15"/>
                <w:szCs w:val="15"/>
              </w:rPr>
              <w:t>нахож-дения</w:t>
            </w:r>
            <w:proofErr w:type="spellEnd"/>
            <w:proofErr w:type="gram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пожарной </w:t>
            </w:r>
            <w:proofErr w:type="spellStart"/>
            <w:r>
              <w:rPr>
                <w:rStyle w:val="a5"/>
                <w:rFonts w:ascii="Verdana" w:hAnsi="Verdana"/>
                <w:sz w:val="15"/>
                <w:szCs w:val="15"/>
              </w:rPr>
              <w:t>лест-ницы</w:t>
            </w:r>
            <w:proofErr w:type="spellEnd"/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88975" cy="675640"/>
                  <wp:effectExtent l="19050" t="0" r="0" b="0"/>
                  <wp:docPr id="11" name="Рисунок 11" descr="http://fireman.ru/bd/npb/160-97/Image2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ireman.ru/bd/npb/160-97/Image2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Пожарный </w:t>
            </w:r>
            <w:proofErr w:type="spellStart"/>
            <w:r>
              <w:rPr>
                <w:rStyle w:val="a5"/>
                <w:rFonts w:ascii="Verdana" w:hAnsi="Verdana"/>
                <w:sz w:val="15"/>
                <w:szCs w:val="15"/>
              </w:rPr>
              <w:t>водоисточник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lastRenderedPageBreak/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lastRenderedPageBreak/>
              <w:t xml:space="preserve">Используется для обозначения места </w:t>
            </w:r>
            <w:proofErr w:type="spellStart"/>
            <w:proofErr w:type="gramStart"/>
            <w:r>
              <w:rPr>
                <w:rStyle w:val="a5"/>
                <w:rFonts w:ascii="Verdana" w:hAnsi="Verdana"/>
                <w:sz w:val="15"/>
                <w:szCs w:val="15"/>
              </w:rPr>
              <w:t>нахож-дения</w:t>
            </w:r>
            <w:proofErr w:type="spellEnd"/>
            <w:proofErr w:type="gram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пожарного водоема или пирса для пожарных машин</w:t>
            </w:r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lastRenderedPageBreak/>
              <w:t>19.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75640" cy="675640"/>
                  <wp:effectExtent l="19050" t="0" r="0" b="0"/>
                  <wp:docPr id="12" name="Рисунок 12" descr="http://fireman.ru/bd/npb/160-97/Image2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fireman.ru/bd/npb/160-97/Image2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Пожарный </w:t>
            </w:r>
            <w:proofErr w:type="spellStart"/>
            <w:r>
              <w:rPr>
                <w:rStyle w:val="a5"/>
                <w:rFonts w:ascii="Verdana" w:hAnsi="Verdana"/>
                <w:sz w:val="15"/>
                <w:szCs w:val="15"/>
              </w:rPr>
              <w:t>сухотрубный</w:t>
            </w:r>
            <w:proofErr w:type="spell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стояк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Используется для обозначения места нахождения пожарного </w:t>
            </w:r>
            <w:proofErr w:type="spellStart"/>
            <w:r>
              <w:rPr>
                <w:rStyle w:val="a5"/>
                <w:rFonts w:ascii="Verdana" w:hAnsi="Verdana"/>
                <w:sz w:val="15"/>
                <w:szCs w:val="15"/>
              </w:rPr>
              <w:t>сухотрубного</w:t>
            </w:r>
            <w:proofErr w:type="spellEnd"/>
            <w:r>
              <w:rPr>
                <w:rStyle w:val="a5"/>
                <w:rFonts w:ascii="Verdana" w:hAnsi="Verdana"/>
                <w:sz w:val="15"/>
                <w:szCs w:val="15"/>
              </w:rPr>
              <w:t xml:space="preserve"> стояка</w:t>
            </w:r>
          </w:p>
        </w:tc>
      </w:tr>
      <w:tr w:rsidR="00E72EBE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>
                  <wp:extent cx="675640" cy="688975"/>
                  <wp:effectExtent l="19050" t="0" r="0" b="0"/>
                  <wp:docPr id="13" name="Рисунок 13" descr="http://fireman.ru/bd/npb/160-97/Image2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ireman.ru/bd/npb/160-97/Image2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Пожарный гидрант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Форма: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КВАДРАТ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Фон: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БЕЛЫЙ</w:t>
            </w:r>
          </w:p>
          <w:p w:rsidR="00E72EBE" w:rsidRDefault="00E72EBE" w:rsidP="00411777">
            <w:pPr>
              <w:pStyle w:val="a4"/>
              <w:jc w:val="center"/>
              <w:rPr>
                <w:sz w:val="15"/>
                <w:szCs w:val="15"/>
              </w:rPr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Символ:</w:t>
            </w:r>
          </w:p>
          <w:p w:rsidR="00E72EBE" w:rsidRDefault="00E72EBE" w:rsidP="00411777">
            <w:pPr>
              <w:pStyle w:val="a4"/>
              <w:jc w:val="center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КРАСНЫЙ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Default="00E72EBE" w:rsidP="00411777">
            <w:pPr>
              <w:pStyle w:val="a4"/>
            </w:pPr>
            <w:r>
              <w:rPr>
                <w:rStyle w:val="a5"/>
                <w:rFonts w:ascii="Verdana" w:hAnsi="Verdana"/>
                <w:sz w:val="15"/>
                <w:szCs w:val="15"/>
              </w:rPr>
              <w:t>Используется для обозначения подземных пожарных гидрантов. На знаке должны быть цифры, обозначающие расстояние до гидранта в метрах</w:t>
            </w:r>
          </w:p>
        </w:tc>
      </w:tr>
    </w:tbl>
    <w:p w:rsidR="00E72EBE" w:rsidRDefault="00E72EBE" w:rsidP="00E72EBE">
      <w:pPr>
        <w:jc w:val="both"/>
      </w:pPr>
    </w:p>
    <w:p w:rsidR="00E72EBE" w:rsidRPr="00F15041" w:rsidRDefault="00E72EBE" w:rsidP="00E72E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50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 Знаки для обозначения пожароопасных веществ, зон,  а также мест кур</w:t>
      </w:r>
      <w:bookmarkStart w:id="1" w:name="OCRUncertain190"/>
      <w:r w:rsidRPr="00F150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</w:t>
      </w:r>
      <w:bookmarkEnd w:id="1"/>
      <w:r w:rsidRPr="00F1504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ния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6"/>
        <w:gridCol w:w="1967"/>
        <w:gridCol w:w="2354"/>
        <w:gridCol w:w="2246"/>
        <w:gridCol w:w="2542"/>
      </w:tblGrid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5640" cy="688975"/>
                  <wp:effectExtent l="19050" t="0" r="0" b="0"/>
                  <wp:docPr id="21" name="Рисунок 21" descr="http://fireman.ru/bd/npb/160-97/Image2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ireman.ru/bd/npb/160-97/Image2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Пожароопасно</w:t>
            </w:r>
            <w:proofErr w:type="spellEnd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: легковоспламеняющиеся вещества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ТРЕУГОЛЬНИК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ЖЕЛТЫЙ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Используется, чтобы обратить внимание на наличие легковоспламеняющихся веществ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5640" cy="688975"/>
                  <wp:effectExtent l="19050" t="0" r="0" b="0"/>
                  <wp:docPr id="22" name="Рисунок 22" descr="http://fireman.ru/bd/npb/160-97/Image2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fireman.ru/bd/npb/160-97/Image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Пожароопасно</w:t>
            </w:r>
            <w:proofErr w:type="spellEnd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: окислитель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ТРЕУГОЛЬНИК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ЖЕЛТЫЙ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ЧЕРНЫЙ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Используется, чтобы обратить внимание на наличие окислит</w:t>
            </w:r>
            <w:bookmarkStart w:id="2" w:name="OCRUncertain18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ля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23.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5640" cy="675640"/>
                  <wp:effectExtent l="19050" t="0" r="0" b="0"/>
                  <wp:docPr id="23" name="Рисунок 23" descr="http://fireman.ru/bd/npb/160-97/Image2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fireman.ru/bd/npb/160-97/Image2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OCRUncertain18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Запрещается </w:t>
            </w:r>
            <w:bookmarkEnd w:id="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тушить водой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КРУГ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 и диагональ: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КРАСНЫЕ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</w:t>
            </w:r>
            <w:bookmarkStart w:id="4" w:name="OCRUncertain18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 в местах, где туш</w:t>
            </w:r>
            <w:bookmarkStart w:id="5" w:name="OCRUncertain18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</w:t>
            </w:r>
            <w:bookmarkStart w:id="6" w:name="OCRUncertain18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 водой не допуска</w:t>
            </w:r>
            <w:bookmarkStart w:id="7" w:name="OCRUncertain18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88975" cy="675640"/>
                  <wp:effectExtent l="19050" t="0" r="0" b="0"/>
                  <wp:docPr id="24" name="Рисунок 24" descr="http://fireman.ru/bd/npb/160-97/Image2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fireman.ru/bd/npb/160-97/Image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Запр</w:t>
            </w:r>
            <w:bookmarkStart w:id="8" w:name="OCRUncertain20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ща</w:t>
            </w:r>
            <w:bookmarkStart w:id="9" w:name="OCRUncertain20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 курить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КРУГ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 и диагональ: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КРАСНЫЕ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Используется, когда кур</w:t>
            </w:r>
            <w:bookmarkStart w:id="10" w:name="OCRUncertain20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</w:t>
            </w:r>
            <w:bookmarkStart w:id="11" w:name="OCRUncertain21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 может стать причиной пожара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25.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5640" cy="668655"/>
                  <wp:effectExtent l="19050" t="0" r="0" b="0"/>
                  <wp:docPr id="25" name="Рисунок 25" descr="http://fireman.ru/bd/npb/160-97/Image2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ireman.ru/bd/npb/160-97/Image2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Запр</w:t>
            </w:r>
            <w:bookmarkStart w:id="12" w:name="OCRUncertain21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щается пользоваться открытым огн</w:t>
            </w:r>
            <w:bookmarkStart w:id="13" w:name="OCRUncertain21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м и курить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КРУГ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 и диагональ: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КРАСНЫЕ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</w:t>
            </w:r>
            <w:bookmarkStart w:id="14" w:name="OCRUncertain21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 xml:space="preserve">тся, когда открытый огонь или </w:t>
            </w:r>
            <w:proofErr w:type="spellStart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кур</w:t>
            </w:r>
            <w:bookmarkStart w:id="15" w:name="OCRUncertain21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</w:t>
            </w:r>
            <w:bookmarkStart w:id="16" w:name="OCRUncertain21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могут</w:t>
            </w:r>
            <w:proofErr w:type="spellEnd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 xml:space="preserve"> стать причиной пожара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26.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75640" cy="675640"/>
                  <wp:effectExtent l="19050" t="0" r="0" b="0"/>
                  <wp:docPr id="26" name="Рисунок 26" descr="http://fireman.ru/bd/npb/160-97/Image2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fireman.ru/bd/npb/160-97/Image2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М</w:t>
            </w:r>
            <w:bookmarkStart w:id="17" w:name="OCRUncertain21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сто кур</w:t>
            </w:r>
            <w:bookmarkStart w:id="18" w:name="OCRUncertain21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ния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КРУГ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СИНИЙ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</w:t>
            </w:r>
            <w:bookmarkStart w:id="19" w:name="OCRUncertain22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1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 для обознач</w:t>
            </w:r>
            <w:bookmarkStart w:id="20" w:name="OCRUncertain22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ния м</w:t>
            </w:r>
            <w:bookmarkStart w:id="21" w:name="OCRUncertain22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ста кур</w:t>
            </w:r>
            <w:bookmarkStart w:id="22" w:name="OCRUncertain22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ния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27.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</w:t>
            </w:r>
            <w:bookmarkStart w:id="23" w:name="OCRUncertain224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bookmarkEnd w:id="23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</w:t>
            </w:r>
            <w:bookmarkStart w:id="24" w:name="OCRUncertain225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bookmarkEnd w:id="24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нду</w:t>
            </w:r>
            <w:bookmarkStart w:id="25" w:name="OCRUncertain226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</w:t>
            </w:r>
            <w:bookmarkEnd w:id="25"/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мый знак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lastRenderedPageBreak/>
              <w:drawing>
                <wp:inline distT="0" distB="0" distL="0" distR="0">
                  <wp:extent cx="675640" cy="675640"/>
                  <wp:effectExtent l="19050" t="0" r="0" b="0"/>
                  <wp:docPr id="27" name="Рисунок 27" descr="http://fireman.ru/bd/npb/160-97/Image2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ireman.ru/bd/npb/160-97/Image22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Взрывоопасно: взрывоо</w:t>
            </w:r>
            <w:bookmarkStart w:id="26" w:name="OCRUncertain22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п</w:t>
            </w:r>
            <w:bookmarkEnd w:id="2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асная ср</w:t>
            </w:r>
            <w:bookmarkStart w:id="27" w:name="OCRUncertain22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да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ТРЕУГОЛЬНИК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ЖЕЛТЫЙ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Контур: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ЧЕРНЫЙ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Исп</w:t>
            </w:r>
            <w:bookmarkStart w:id="28" w:name="OCRUncertain22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о</w:t>
            </w:r>
            <w:bookmarkEnd w:id="2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льзу</w:t>
            </w:r>
            <w:bookmarkStart w:id="29" w:name="OCRUncertain23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2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тся, чтобы обратить внимани</w:t>
            </w:r>
            <w:bookmarkStart w:id="30" w:name="OCRUncertain23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 </w:t>
            </w:r>
            <w:bookmarkEnd w:id="3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на наличи</w:t>
            </w:r>
            <w:bookmarkStart w:id="31" w:name="OCRUncertain23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3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 взрывоопасной ср</w:t>
            </w:r>
            <w:bookmarkStart w:id="32" w:name="OCRUncertain23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3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 xml:space="preserve">ды или взрывчатых </w:t>
            </w: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lastRenderedPageBreak/>
              <w:t>в</w:t>
            </w:r>
            <w:bookmarkStart w:id="33" w:name="OCRUncertain23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3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щ</w:t>
            </w:r>
            <w:bookmarkStart w:id="34" w:name="OCRUncertain23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3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ств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28.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743585" cy="245745"/>
                  <wp:effectExtent l="19050" t="0" r="0" b="0"/>
                  <wp:docPr id="28" name="Рисунок 28" descr="http://fireman.ru/bd/npb/160-97/Image2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fireman.ru/bd/npb/160-97/Image2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477520" cy="477520"/>
                  <wp:effectExtent l="19050" t="0" r="0" b="0"/>
                  <wp:docPr id="29" name="Рисунок 29" descr="http://fireman.ru/bd/npb/160-97/Image2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fireman.ru/bd/npb/160-97/Image2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Направл</w:t>
            </w:r>
            <w:bookmarkStart w:id="35" w:name="OCRUncertain19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3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</w:t>
            </w:r>
            <w:bookmarkStart w:id="36" w:name="OCRUncertain19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 </w:t>
            </w:r>
            <w:bookmarkEnd w:id="3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эвакуации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КВАДРАТ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ЗЕЛЕНЫЙ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 </w:t>
            </w:r>
            <w:bookmarkStart w:id="37" w:name="OCRUncertain193"/>
            <w:proofErr w:type="gramStart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ФОСФО</w:t>
            </w:r>
            <w:bookmarkStart w:id="38" w:name="OCRUncertain194"/>
            <w:bookmarkEnd w:id="37"/>
            <w:bookmarkEnd w:id="3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-РЕСЦИРУЮЩИЙ</w:t>
            </w:r>
            <w:proofErr w:type="gramEnd"/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</w:t>
            </w:r>
            <w:bookmarkStart w:id="39" w:name="OCRUncertain19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о</w:t>
            </w:r>
            <w:bookmarkEnd w:id="39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льзу</w:t>
            </w:r>
            <w:bookmarkStart w:id="40" w:name="OCRUncertain19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 на путях эвакуации совместно со знаком 4 для обознач</w:t>
            </w:r>
            <w:bookmarkStart w:id="41" w:name="OCRUncertain19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ния направл</w:t>
            </w:r>
            <w:bookmarkStart w:id="42" w:name="OCRUncertain19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ния к эвакуационному выходу</w:t>
            </w:r>
          </w:p>
        </w:tc>
      </w:tr>
      <w:tr w:rsidR="00E72EBE" w:rsidRPr="00F15041" w:rsidTr="00411777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29.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88975" cy="675640"/>
                  <wp:effectExtent l="19050" t="0" r="0" b="0"/>
                  <wp:docPr id="30" name="Рисунок 30" descr="http://fireman.ru/bd/npb/160-97/Image2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fireman.ru/bd/npb/160-97/Image2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ru-RU"/>
              </w:rPr>
              <w:drawing>
                <wp:inline distT="0" distB="0" distL="0" distR="0">
                  <wp:extent cx="668655" cy="675640"/>
                  <wp:effectExtent l="19050" t="0" r="0" b="0"/>
                  <wp:docPr id="31" name="Рисунок 31" descr="http://fireman.ru/bd/npb/160-97/Image2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fireman.ru/bd/npb/160-97/Image22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Направл</w:t>
            </w:r>
            <w:bookmarkStart w:id="43" w:name="OCRUncertain200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3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ни</w:t>
            </w:r>
            <w:bookmarkStart w:id="44" w:name="OCRUncertain201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 к м</w:t>
            </w:r>
            <w:bookmarkStart w:id="45" w:name="OCRUncertain202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сту нахождения</w:t>
            </w:r>
            <w:bookmarkStart w:id="46" w:name="OCRUncertain203"/>
            <w:r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 xml:space="preserve"> </w:t>
            </w: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пожарно-технической </w:t>
            </w:r>
            <w:bookmarkEnd w:id="46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продукции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Форма: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КВАДРАТ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Фон: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КРАСНЫЙ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Символ:</w:t>
            </w:r>
          </w:p>
          <w:p w:rsidR="00E72EBE" w:rsidRPr="00F15041" w:rsidRDefault="00E72EBE" w:rsidP="004117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БЕЛЫЙ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2EBE" w:rsidRPr="00F15041" w:rsidRDefault="00E72EBE" w:rsidP="004117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Использу</w:t>
            </w:r>
            <w:bookmarkStart w:id="47" w:name="OCRUncertain204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7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тся совм</w:t>
            </w:r>
            <w:bookmarkStart w:id="48" w:name="OCRUncertain205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е</w:t>
            </w:r>
            <w:bookmarkEnd w:id="48"/>
            <w:r w:rsidRPr="00F15041">
              <w:rPr>
                <w:rFonts w:ascii="Verdana" w:eastAsia="Times New Roman" w:hAnsi="Verdana" w:cs="Times New Roman"/>
                <w:b/>
                <w:bCs/>
                <w:sz w:val="15"/>
                <w:lang w:eastAsia="ru-RU"/>
              </w:rPr>
              <w:t>стно с одним из знаков 1...3 или 14...20</w:t>
            </w:r>
          </w:p>
        </w:tc>
      </w:tr>
    </w:tbl>
    <w:p w:rsidR="00422D1E" w:rsidRDefault="00621031"/>
    <w:sectPr w:rsidR="00422D1E" w:rsidSect="001D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2EBE"/>
    <w:rsid w:val="00053241"/>
    <w:rsid w:val="001D4A71"/>
    <w:rsid w:val="00621031"/>
    <w:rsid w:val="009C62D9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303A3-52BC-4E33-95B4-A6D7EA2F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E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72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2EBE"/>
  </w:style>
  <w:style w:type="character" w:styleId="a5">
    <w:name w:val="Strong"/>
    <w:basedOn w:val="a0"/>
    <w:uiPriority w:val="22"/>
    <w:qFormat/>
    <w:rsid w:val="00E72E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image" Target="media/image3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hyperlink" Target="http://fireman.ru/PTV/ptv/signal.htm" TargetMode="Externa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image" Target="media/image1.gif"/><Relationship Id="rId9" Type="http://schemas.openxmlformats.org/officeDocument/2006/relationships/hyperlink" Target="http://fireman.ru/PTV/index.htm" TargetMode="External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1</cp:lastModifiedBy>
  <cp:revision>3</cp:revision>
  <cp:lastPrinted>2018-08-03T14:13:00Z</cp:lastPrinted>
  <dcterms:created xsi:type="dcterms:W3CDTF">2013-05-02T07:49:00Z</dcterms:created>
  <dcterms:modified xsi:type="dcterms:W3CDTF">2018-08-03T14:14:00Z</dcterms:modified>
</cp:coreProperties>
</file>